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Smlouva o zpracování osobních údajů (DPA)</w:t>
      </w:r>
    </w:p>
    <w:p>
      <w:r>
        <w:rPr>
          <w:b/>
        </w:rPr>
        <w:t>podle čl. 28 obecného nařízení o ochraně osobních údajů (GDPR)</w:t>
      </w:r>
    </w:p>
    <w:p>
      <w:r>
        <w:t>Version 1.0, stav ke dni 22. září 2026</w:t>
      </w:r>
    </w:p>
    <w:p>
      <w:pPr>
        <w:pStyle w:val="Heading2"/>
      </w:pPr>
      <w:r>
        <w:t>Smluvní strany</w:t>
      </w:r>
    </w:p>
    <w:p>
      <w:r>
        <w:rPr>
          <w:b/>
        </w:rPr>
        <w:t>Zákazník</w:t>
      </w:r>
      <w:r>
        <w:t xml:space="preserve"> (správce ve smyslu čl. 4 bodu 7 GDPR):</w:t>
      </w:r>
    </w:p>
    <w:p>
      <w:r>
        <w:t>Firma / jméno: ______________________________________</w:t>
      </w:r>
    </w:p>
    <w:p>
      <w:r>
        <w:t>Adresa: ______________________________________</w:t>
      </w:r>
    </w:p>
    <w:p>
      <w:r>
        <w:t>E-mail účtu scryp: ______________________________________</w:t>
      </w:r>
    </w:p>
    <w:p>
      <w:r>
        <w:rPr>
          <w:b/>
        </w:rPr>
        <w:t>scryp</w:t>
      </w:r>
      <w:r>
        <w:t xml:space="preserve"> (zpracovatel ve smyslu čl. 4 bodu 8 GDPR):</w:t>
      </w:r>
    </w:p>
    <w:p>
      <w:r>
        <w:t>Gökhan Sagir, podnikající fyzická osoba, jednající pod značkou scryp</w:t>
      </w:r>
      <w:r>
        <w:br/>
      </w:r>
      <w:r>
        <w:t>Erdbergstraße 121/9, 1030 Vídeň, Rakousko</w:t>
      </w:r>
      <w:r>
        <w:br/>
      </w:r>
      <w:r>
        <w:t>UID: ATU83108129</w:t>
      </w:r>
      <w:r>
        <w:br/>
      </w:r>
      <w:r>
        <w:t>Kontakt pro ochranu osobních údajů: datenschutz@scryp.at</w:t>
      </w:r>
    </w:p>
    <w:p>
      <w:r>
        <w:t>Dále jen „zákazník“ a „scryp“, společně „smluvní strany“.</w:t>
      </w:r>
    </w:p>
    <w:p>
      <w:pPr>
        <w:pStyle w:val="Heading2"/>
      </w:pPr>
      <w:r>
        <w:t>O co jde</w:t>
      </w:r>
    </w:p>
    <w:p>
      <w:r>
        <w:t>Zákazník používá scryp k tomu, aby si nechal přepsat a vyhodnotit zvukové nahrávky a videonahrávky. V těchto nahrávkách hovoří lidé, za jejichž osobní údaje odpovídá zákazník. scryp tyto údaje zpracovává pouze z pověření zákazníka. Tato smlouva stanoví, co smí scryp s údaji dělat, jak je scryp chrání a co se s nimi nakonec stane.</w:t>
      </w:r>
    </w:p>
    <w:p>
      <w:pPr>
        <w:pStyle w:val="Heading2"/>
      </w:pPr>
      <w:r>
        <w:t>1. Předmět a působnost</w:t>
      </w:r>
    </w:p>
    <w:p>
      <w:r>
        <w:t>1.1 Tato smlouva se vztahuje na všechny osobní údaje, které scryp zpracovává z pověření zákazníka při poskytování služby scryp podle Podmínek poskytování služeb (VOP, dostupných na www.scryp.at/agb). Smlouva o používání služby je dále označována jako „hlavní smlouva“. Aktuální znění této smlouvy je k dispozici na www.scryp.at/avv.</w:t>
      </w:r>
    </w:p>
    <w:p>
      <w:r>
        <w:t>1.2 Předmětem této smlouvy nejsou údaje samotného smluvního vztahu, tedy údaje o účtu, smlouvě, fakturaci a podpoře zákazníka. Tyto údaje zpracovává scryp jako samostatný správce podle svých Zásad ochrany osobních údajů (www.scryp.at/datenschutz).</w:t>
      </w:r>
    </w:p>
    <w:p>
      <w:r>
        <w:t>1.3 Přílohy 1 až 3 jsou součástí této smlouvy. V případě rozporu mezi touto smlouvou a hlavní smlouvou má v otázkách ochrany osobních údajů přednost tato smlouva.</w:t>
      </w:r>
    </w:p>
    <w:p>
      <w:r>
        <w:t>1.4 Tato smlouva je určena zákazníkům, kteří používají scryp v rámci profesní, podnikatelské nebo úřední činnosti. Při čistě soukromém používání se GDPR podle čl. 2 odst. 2 písm. c) nepoužije a smlouva o zpracování osobních údajů není zapotřebí.</w:t>
      </w:r>
    </w:p>
    <w:p>
      <w:pPr>
        <w:pStyle w:val="Heading2"/>
      </w:pPr>
      <w:r>
        <w:t>2. Povaha, účel a rozsah zpracování</w:t>
      </w:r>
    </w:p>
    <w:p>
      <w:r>
        <w:t>2.1 Povaha a účel zpracování, typy údajů a kategorie subjektů údajů jsou popsány v příloze 1.</w:t>
      </w:r>
    </w:p>
    <w:p>
      <w:r>
        <w:t>2.2 scryp zpracovává údaje výhradně v členských státech Evropské unie. Místa zpracování jsou uvedena v příloze 1 a příloze 3.</w:t>
      </w:r>
    </w:p>
    <w:p>
      <w:r>
        <w:t>2.3 Doba zpracování odpovídá době trvání hlavní smlouvy prodloužené o lhůty pro výmaz upravené v bodě 12.</w:t>
      </w:r>
    </w:p>
    <w:p>
      <w:pPr>
        <w:pStyle w:val="Heading2"/>
      </w:pPr>
      <w:r>
        <w:t>3. Pokyny</w:t>
      </w:r>
    </w:p>
    <w:p>
      <w:r>
        <w:t>3.1 scryp zpracovává údaje pouze na základě doložených pokynů zákazníka. Pokyny zákazníka tvoří hlavní smlouva, tato smlouva a používání funkcí služby zákazníkem (zejména nahrávání, přepis, vyhodnocování, úpravy, sdílení, export a mazání). Každé použití funkce je doloženým jednotlivým pokynem k provedení příslušného zpracování.</w:t>
      </w:r>
    </w:p>
    <w:p>
      <w:r>
        <w:t>3.2 Další pokyny uděluje zákazník písemně; postačí e-mail na adresu datenschutz@scryp.at. K udělování pokynů jsou oprávněni držitel účtu a osoby, které zákazník pro svůj účet scryp pověří. Pokyny, které přesahují rozsah plnění služby, se považují za žádost o změnu plnění.</w:t>
      </w:r>
    </w:p>
    <w:p>
      <w:r>
        <w:t>3.3 Je-li pokyn podle názoru scryp v rozporu s GDPR nebo jinými předpisy o ochraně osobních údajů, scryp o tom zákazníka neprodleně informuje. scryp smí provedení pokynu pozastavit, dokud jej zákazník nepotvrdí nebo nezmění.</w:t>
      </w:r>
    </w:p>
    <w:p>
      <w:r>
        <w:t>3.4 scryp nepoužívá údaje pro vlastní účely. Zejména se nahrávky, přepisy a vyhodnocení zákazníka nepoužívají k trénování ani zlepšování modelů umělé inteligence a nepředávají se třetím osobám, pokud tato smlouva nestanoví jinak.</w:t>
      </w:r>
    </w:p>
    <w:p>
      <w:r>
        <w:t>3.5 Požaduje-li od scryp úřad nebo soud vydání údajů zákazníka, informuje scryp zákazníka neprodleně, pokud je to právně přípustné, odkáže daný orgán na zákazníka a vydá pouze to, k čemu je scryp ze zákona povinen. scryp přitom prověří, zda vydání nebrání zákonná povinnost mlčenlivosti zákazníka (§ 6 odst. 5 DSG).</w:t>
      </w:r>
    </w:p>
    <w:p>
      <w:pPr>
        <w:pStyle w:val="Heading2"/>
      </w:pPr>
      <w:r>
        <w:t>4. Povinnosti zákazníka</w:t>
      </w:r>
    </w:p>
    <w:p>
      <w:r>
        <w:t>4.1 Zákazník odpovídá za zákonnost nahrávek a jejich zpracování. Zajistí zejména právní základ (čl. 6, u zvláštních kategorií čl. 9 GDPR), informování subjektů údajů (čl. 13 a 14 GDPR) a to, aby nebyly bez souhlasu hovořících osob nahrávány neveřejné projevy (například § 120 StGB v Rakousku).</w:t>
      </w:r>
    </w:p>
    <w:p>
      <w:r>
        <w:t>4.2 Obsahují-li nahrávky zvláštní kategorie osobních údajů (například údaje o zdravotním stavu) nebo obsah podléhající profesnímu tajemství, zákazník předem prověří, zda je zpracování přípustné a zda je nutné posouzení vlivu na ochranu osobních údajů (čl. 35 GDPR). scryp k tomu poskytuje informace obsažené v této smlouvě a jejích přílohách.</w:t>
      </w:r>
    </w:p>
    <w:p>
      <w:r>
        <w:t>4.3 Zákazník udržuje e-mailovou adresu svého účtu scryp aktuální. Na tuto adresu zasílá scryp veškerá sdělení podle této smlouvy, zejména ohlášení podle bodu 10.</w:t>
      </w:r>
    </w:p>
    <w:p>
      <w:r>
        <w:t>4.4 Zákazník má právo udělovat scryp pokyny, požadovat doložení souladu a provádět audity podle bodu 11.</w:t>
      </w:r>
    </w:p>
    <w:p>
      <w:pPr>
        <w:pStyle w:val="Heading2"/>
      </w:pPr>
      <w:r>
        <w:t>5. Důvěrnost a profesní tajemství</w:t>
      </w:r>
    </w:p>
    <w:p>
      <w:r>
        <w:t>5.1 scryp umožňuje přístup k údajům pouze osobám, které jsou zavázány k zachování datového tajemství (§ 6 DSG) a k mlčenlivosti a byly poučeny o důsledcích jejich porušení (čl. 28 odst. 3 písm. b), čl. 29 GDPR). Tento závazek trvá i po skončení činnosti.</w:t>
      </w:r>
    </w:p>
    <w:p>
      <w:r>
        <w:t>5.2 scryp je koncipován tak, aby se obsah zákazníka (nahrávky, přepisy, vyhodnocení, názvy souborů a složek) ukládal pouze v zašifrované podobě a v otevřené podobě se nacházel pouze po dobu příslušného zpracování v operační paměti zpracovatelských serverů. Osoby na straně scryp nemají za běžného provozu přístup k obsahu v otevřené podobě. Podrobnosti jsou uvedeny v příloze 2.</w:t>
      </w:r>
    </w:p>
    <w:p>
      <w:r>
        <w:t>5.3 Podléhá-li zákazník zákonné povinnosti mlčenlivosti (například § 9 RAO, § 54 ÄrzteG, § 121 StGB), zavazuje se scryp jako pomocná osoba zákazníka zachovávat stejným způsobem tajnost veškerého obsahu, který se scryp v rámci poskytování plnění zpřístupní. U zákazníků podléhajících německému právu to platí zároveň jako závazek k zachování mlčenlivosti podle § 203 odst. 4 StGB (Německo). Na žádost scryp tento závazek potvrdí samostatným prohlášením.</w:t>
      </w:r>
    </w:p>
    <w:p>
      <w:pPr>
        <w:pStyle w:val="Heading2"/>
      </w:pPr>
      <w:r>
        <w:t>6. Zabezpečení zpracování</w:t>
      </w:r>
    </w:p>
    <w:p>
      <w:r>
        <w:t>6.1 scryp přijímá technická a organizační opatření podle čl. 32 GDPR, která jsou popsána v příloze 2.</w:t>
      </w:r>
    </w:p>
    <w:p>
      <w:r>
        <w:t>6.2 scryp smí tato opatření dále rozvíjet a nahrazovat je rovnocennými nebo lepšími. Úroveň ochrany přitom nesmí klesnout. Podstatné změny scryp zdokumentuje a sdělí zákazníkovi. Aktuální znění přílohy 2 je k dispozici na www.scryp.at/avv.</w:t>
      </w:r>
    </w:p>
    <w:p>
      <w:r>
        <w:t>6.3 scryp ověřuje účinnost opatření nejméně jednou ročně a na žádost sdělí zákazníkovi výsledek.</w:t>
      </w:r>
    </w:p>
    <w:p>
      <w:pPr>
        <w:pStyle w:val="Heading2"/>
      </w:pPr>
      <w:r>
        <w:t>7. Další zpracovatelé</w:t>
      </w:r>
    </w:p>
    <w:p>
      <w:r>
        <w:t>7.1 Zákazník schvaluje další zpracovatele uvedené v příloze 3 (obecné povolení podle čl. 28 odst. 2 GDPR).</w:t>
      </w:r>
    </w:p>
    <w:p>
      <w:r>
        <w:t>7.2 Chce-li scryp přidat nebo nahradit dalšího zpracovatele, informuje zákazníka nejméně 30 dnů před jeho nasazením e-mailem na adresu účtu scryp. Zákazník může do 14 dnů od doručení tohoto oznámení písemně vznést námitku ze závažného důvodu týkajícího se ochrany osobních údajů; postačí e-mail. Nevznese-li zákazník námitku, považuje se změna za schválenou.</w:t>
      </w:r>
    </w:p>
    <w:p>
      <w:r>
        <w:t>7.3 Nenajdou-li smluvní strany po vznesení námitky řešení, může zákazník vypovědět hlavní smlouvu k okamžiku plánovaného nasazení. Úplaty, které zákazník uhradil předem za dobu po ukončení, scryp poměrně vrátí.</w:t>
      </w:r>
    </w:p>
    <w:p>
      <w:r>
        <w:t>7.4 scryp uloží každému dalšímu zpracovateli smluvně stejné povinnosti v oblasti ochrany osobních údajů, jaké má podle této smlouvy scryp, zejména dostatečné záruky vhodných technických a organizačních opatření (čl. 28 odst. 4 GDPR). Neplní-li další zpracovatel své povinnosti, odpovídá scryp zákazníkovi za jeho povinnosti jako za vlastní jednání.</w:t>
      </w:r>
    </w:p>
    <w:p>
      <w:r>
        <w:t>7.5 Vedlejší služby bez přístupu k údajům zákazníka, například telekomunikace, úklid nebo údržba bez přístupu k údajům, nejsou zpracováním dalším zpracovatelem.</w:t>
      </w:r>
    </w:p>
    <w:p>
      <w:pPr>
        <w:pStyle w:val="Heading2"/>
      </w:pPr>
      <w:r>
        <w:t>8. Místo zpracování a třetí země</w:t>
      </w:r>
    </w:p>
    <w:p>
      <w:r>
        <w:t>8.1 scryp zpracovává a ukládá údaje v Rakousku a Německu. K předávání do zemí mimo Evropskou unii nebo Evropský hospodářský prostor ze strany scryp nedochází.</w:t>
      </w:r>
    </w:p>
    <w:p>
      <w:r>
        <w:t>8.2 Pokud by další zpracovatel zpracovával údaje ve třetí zemi, děje se tak pouze v rozsahu popsaném v příloze 3 a pouze s vhodnou zárukou podle kapitoly V GDPR (například rozhodnutí Evropské komise o odpovídající ochraně nebo standardní smluvní doložky EU).</w:t>
      </w:r>
    </w:p>
    <w:p>
      <w:pPr>
        <w:pStyle w:val="Heading2"/>
      </w:pPr>
      <w:r>
        <w:t>9. Součinnost poskytovaná zákazníkovi</w:t>
      </w:r>
    </w:p>
    <w:p>
      <w:r>
        <w:t>9.1 Práva subjektů údajů: Zákazník může práva na přístup, opravu, výmaz a přenositelnost údajů ve většině případů naplnit sám prostřednictvím funkcí služby (zobrazení, úpravy, export, výmaz). Protože scryp uchovává obsah pouze v zašifrované podobě, nemůže scryp zjistit, které osoby se v nahrávce vyskytují. Obrátí-li se subjekt údajů na scryp, postoupí scryp žádost neprodleně zákazníkovi a sám na ni neodpovídá, ledaže k tomu zákazník scryp udělí pokyn.</w:t>
      </w:r>
    </w:p>
    <w:p>
      <w:r>
        <w:t>9.2 Zabezpečení, porušení zabezpečení osobních údajů, posouzení vlivu na ochranu osobních údajů a konzultace s dozorovým úřadem (čl. 32 až 36 GDPR): scryp podporuje zákazníka informacemi, které má scryp k dispozici, zejména touto smlouvou, přílohou 2 a údaji o incidentu podle bodu 10.</w:t>
      </w:r>
    </w:p>
    <w:p>
      <w:r>
        <w:t>9.3 Za součinnost, která přesahuje poskytnutí informací a funkcí popsaných v této smlouvě, si scryp může po předchozím oznámení nechat přiměřeně uhradit odměnu podle vynaloženého úsilí. To neplatí, je-li součinnost nutná kvůli chybě na straně scryp.</w:t>
      </w:r>
    </w:p>
    <w:p>
      <w:pPr>
        <w:pStyle w:val="Heading2"/>
      </w:pPr>
      <w:r>
        <w:t>10. Ohlašování případů porušení zabezpečení osobních údajů</w:t>
      </w:r>
    </w:p>
    <w:p>
      <w:r>
        <w:t>10.1 Dozví-li se scryp o porušení zabezpečení osobních údajů, které se týká údajů zákazníka, ohlásí to zákazníkovi bez zbytečného odkladu, nejpozději do 48 hodin od okamžiku, kdy se o něm dozvěděl, e-mailem na adresu účtu scryp.</w:t>
      </w:r>
    </w:p>
    <w:p>
      <w:r>
        <w:t>10.2 Ohlášení obsahuje, pokud je známo: povahu porušení, dotčené typy údajů a přibližný počet dotčených osob, pravděpodobné důsledky, přijatá a navrhovaná opatření a kontaktní místo u scryp. Informace, které dosud nejsou k dispozici, scryp doplní bez zbytečného odkladu.</w:t>
      </w:r>
    </w:p>
    <w:p>
      <w:r>
        <w:t>10.3 scryp porušení zdokumentuje a podporuje zákazníka při ohlášení dozorovému úřadu a při oznámení subjektům údajů. Ohlášení úřadům nebo oznámení subjektům údajů za zákazníka činí scryp pouze na jeho pokyn. Ohlášení zákazníkovi nepředstavuje uznání zavinění.</w:t>
      </w:r>
    </w:p>
    <w:p>
      <w:pPr>
        <w:pStyle w:val="Heading2"/>
      </w:pPr>
      <w:r>
        <w:t>11. Doložení souladu a audity</w:t>
      </w:r>
    </w:p>
    <w:p>
      <w:r>
        <w:t>11.1 scryp poskytne zákazníkovi veškeré informace potřebné k doložení toho, že byly splněny povinnosti podle čl. 28 GDPR. Patří k nim tato smlouva, popis opatření v příloze 2, záznamy podle čl. 30 odst. 2 GDPR, certifikace dalších zpracovatelů a písemné odpovědi na odůvodněné dotazy zákazníka.</w:t>
      </w:r>
    </w:p>
    <w:p>
      <w:r>
        <w:t>11.2 Nepostačují-li tyto doklady v jednotlivém případě, může zákazník sám nebo prostřednictvím auditora zavázaného k mlčenlivosti, který není konkurentem scryp, provést audit včetně inspekce. Audity se konají nejvýše jednou za kalendářní rok, po oznámení nejméně 30 dnů předem, v obvyklé pracovní době a bez narušení provozu. Při konkrétních indiciích nasvědčujících porušení nebo na žádost dozorového úřadu je audit možný i v kratší lhůtě a častěji.</w:t>
      </w:r>
    </w:p>
    <w:p>
      <w:r>
        <w:t>11.3 Audit se nevztahuje na údaje jiných zákazníků ani na datová centra dalších zpracovatelů. Pro ta platí jejich certifikace a zprávy o auditech. Každá smluvní strana nese vlastní náklady auditu.</w:t>
      </w:r>
    </w:p>
    <w:p>
      <w:pPr>
        <w:pStyle w:val="Heading2"/>
      </w:pPr>
      <w:r>
        <w:t>12. Výmaz a vrácení údajů</w:t>
      </w:r>
    </w:p>
    <w:p>
      <w:r>
        <w:t>12.1 Během doby trvání smlouvy může zákazník své údaje kdykoli sám vymazat a exportovat v běžných formátech. Vymazaný obsah je okamžitě odstraněn z aktivních dat.</w:t>
      </w:r>
    </w:p>
    <w:p>
      <w:r>
        <w:t>12.2 Nahrané původní soubory scryp automaticky vymaže po dokončení zpracování, zpravidla během několika minut, nejpozději však 72 hodin po nahrání. Uloženy zůstávají pouze zašifrovaná verze pro přehrávání, zašifrovaný přepis a zašifrovaná vyhodnocení.</w:t>
      </w:r>
    </w:p>
    <w:p>
      <w:r>
        <w:t>12.3 Po skončení hlavní smlouvy zůstává obsah zákazníkovi k dispozici pro export ještě po dobu až 90 dnů. Poté jej scryp včetně všech kopií automaticky vymaže. Odstraní-li zákazník svůj účet, jsou všechny údaje vymazány okamžitě.</w:t>
      </w:r>
    </w:p>
    <w:p>
      <w:r>
        <w:t>12.4 Záložní kopie slouží pouze k obnovení celého systému. Obsah zákazníka obsahují výhradně v zašifrované podobě a jsou přepsány nejpozději po 30 dnech. Obnovení jednotlivých vymazaných údajů zákazníka ze záložních kopií se neprovádí.</w:t>
      </w:r>
    </w:p>
    <w:p>
      <w:r>
        <w:t>12.5 Údaje, které scryp musí nadále uchovávat na základě zákonných povinností uchovávání (například fakturační údaje podle § 132 BAO), jsou z výmazu vyňaty. Jsou zablokovány a po uplynutí lhůty vymazány.</w:t>
      </w:r>
    </w:p>
    <w:p>
      <w:r>
        <w:t>12.6 Na žádost scryp výmaz písemně potvrdí; postačí e-mail.</w:t>
      </w:r>
    </w:p>
    <w:p>
      <w:pPr>
        <w:pStyle w:val="Heading2"/>
      </w:pPr>
      <w:r>
        <w:t>13. Odpovědnost</w:t>
      </w:r>
    </w:p>
    <w:p>
      <w:r>
        <w:t>13.1 Vůči subjektům údajů odpovídají smluvní strany podle čl. 82 GDPR.</w:t>
      </w:r>
    </w:p>
    <w:p>
      <w:r>
        <w:t>13.2 Ve vzájemném vztahu smluvních stran platí ustanovení hlavní smlouvy o odpovědnosti, pokud to zákon připouští. Za další zpracovatele odpovídá scryp jako za vlastní jednání (bod 7.4).</w:t>
      </w:r>
    </w:p>
    <w:p>
      <w:r>
        <w:t>13.3 Nahradila-li některá smluvní strana újmu subjektům údajů, může od druhé smluvní strany požadovat zpět tu část, která odpovídá jejímu podílu na odpovědnosti za újmu (čl. 82 odst. 5 GDPR).</w:t>
      </w:r>
    </w:p>
    <w:p>
      <w:r>
        <w:t>13.4 Trvá-li zákazník na pokynu, ačkoli jej scryp podle bodu 3.3 upozornil na jeho protiprávnost, zprostí zákazník scryp veškerých nároků třetích osob a pokut, které se na tomto pokynu zakládají.</w:t>
      </w:r>
    </w:p>
    <w:p>
      <w:pPr>
        <w:pStyle w:val="Heading2"/>
      </w:pPr>
      <w:r>
        <w:t>14. Doba trvání, pozastavení a ukončení</w:t>
      </w:r>
    </w:p>
    <w:p>
      <w:r>
        <w:t>14.1 Tato smlouva platí, dokud scryp zpracovává údaje pro zákazníka, tedy po dobu trvání hlavní smlouvy a až do dokončení výmazu podle bodu 12.</w:t>
      </w:r>
    </w:p>
    <w:p>
      <w:r>
        <w:t>14.2 Používání služby bez této smlouvy není u zákazníků podle bodu 1.4 předpokládáno. Výpověď této smlouvy se proto zároveň považuje za výpověď hlavní smlouvy.</w:t>
      </w:r>
    </w:p>
    <w:p>
      <w:r>
        <w:t>14.3 Poruší-li scryp tuto smlouvu, může zákazník požadovat, aby scryp dotčené zpracování pozastavil, dokud nebude porušení odstraněno. Neodstraní-li scryp závažné porušení do jednoho měsíce od výzvy, může zákazník hlavní smlouvu vypovědět bez výpovědní doby.</w:t>
      </w:r>
    </w:p>
    <w:p>
      <w:pPr>
        <w:pStyle w:val="Heading2"/>
      </w:pPr>
      <w:r>
        <w:t>15. Závěrečná ustanovení</w:t>
      </w:r>
    </w:p>
    <w:p>
      <w:r>
        <w:t>15.1 Tato smlouva se uzavírá v elektronické podobě (čl. 28 odst. 9 GDPR). U zákazníků podle bodu 1.4 se stává součástí smlouvy začleněním do Podmínek poskytování služeb (VOP) uzavřením hlavní smlouvy; smluvní stranou je pak držitel účtu scryp s údaji v něm uloženými. Vedle toho může být uzavřena oboustranným podpisem tohoto dokumentu, a to i jako elektronická kopie.</w:t>
      </w:r>
    </w:p>
    <w:p>
      <w:r>
        <w:t>15.2 Změny této smlouvy vyžadují písemnou formu; postačí e-mail. scryp smí upravovat přílohu 2 podle bodu 6.2 a přílohu 3 podle bodu 7.2. Jiné změny scryp oznámí e-mailem nejméně 30 dnů před jejich účinností; zákazník může do té doby vznést námitku a hlavní smlouvu k tomuto okamžiku vypovědět. scryp uchovává každé znění této smlouvy s číslem verze a datem.</w:t>
      </w:r>
    </w:p>
    <w:p>
      <w:r>
        <w:t>15.3 Použije se rakouské právo; GDPR tím není dotčeno. Je-li zákazník podnikatelem, je pro všechny spory z této smlouvy výlučně příslušný věcně příslušný soud ve Vídni. Kogentní zákonná ustanovení o soudní příslušnosti zůstávají nedotčena.</w:t>
      </w:r>
    </w:p>
    <w:p>
      <w:r>
        <w:t>15.4 Bude-li některé ustanovení neplatné, zůstává zbytek smlouvy v platnosti. Na místo neplatného ustanovení nastupuje zákonná úprava, která se nejvíce blíží jeho účelu.</w:t>
      </w:r>
    </w:p>
    <w:p>
      <w:r>
        <w:t>15.5 Kontaktním místem pro všechny otázky týkající se této smlouvy je na straně scryp adresa datenschutz@scryp.at. Na straně zákazníka je jím e-mailová adresa účtu scryp, pokud zákazník nesdělí jinak.</w:t>
      </w:r>
    </w:p>
    <w:p>
      <w:r>
        <w:t>15.6 scryp poskytuje tuto smlouvu v několika jazycích. Závazné je německé znění; překlady slouží k porozumění. V případě odchylek platí německý text.</w:t>
      </w:r>
    </w:p>
    <w:p>
      <w:pPr>
        <w:pStyle w:val="Heading2"/>
      </w:pPr>
      <w:r>
        <w:t>Podpisy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4309"/>
          </w:tcPr>
          <w:p>
            <w:pPr>
              <w:spacing w:after="80"/>
            </w:pPr>
            <w:r/>
            <w:r>
              <w:rPr>
                <w:b/>
              </w:rPr>
              <w:t>Za zákazníka</w:t>
            </w:r>
          </w:p>
          <w:p>
            <w:pPr>
              <w:spacing w:before="440" w:after="0"/>
              <w:pBdr>
                <w:bottom w:val="single" w:sz="6" w:space="1" w:color="6B7280"/>
              </w:pBdr>
            </w:pPr>
          </w:p>
          <w:p>
            <w:pPr>
              <w:spacing w:before="40" w:after="0"/>
            </w:pPr>
            <w:r>
              <w:rPr>
                <w:color w:val="6B7280"/>
                <w:sz w:val="17"/>
              </w:rPr>
              <w:t>Místo, datum</w:t>
            </w:r>
          </w:p>
          <w:p>
            <w:pPr>
              <w:spacing w:before="440" w:after="0"/>
              <w:pBdr>
                <w:bottom w:val="single" w:sz="6" w:space="1" w:color="6B7280"/>
              </w:pBdr>
            </w:pPr>
          </w:p>
          <w:p>
            <w:pPr>
              <w:spacing w:before="40" w:after="0"/>
            </w:pPr>
            <w:r>
              <w:rPr>
                <w:color w:val="6B7280"/>
                <w:sz w:val="17"/>
              </w:rPr>
              <w:t>Jméno, funkce</w:t>
            </w:r>
          </w:p>
          <w:p>
            <w:pPr>
              <w:spacing w:before="440" w:after="0"/>
              <w:pBdr>
                <w:bottom w:val="single" w:sz="6" w:space="1" w:color="6B7280"/>
              </w:pBdr>
            </w:pPr>
          </w:p>
          <w:p>
            <w:pPr>
              <w:spacing w:before="40" w:after="0"/>
            </w:pPr>
            <w:r>
              <w:rPr>
                <w:color w:val="6B7280"/>
                <w:sz w:val="17"/>
              </w:rPr>
              <w:t>Podpis</w:t>
            </w:r>
          </w:p>
        </w:tc>
        <w:tc>
          <w:tcPr>
            <w:tcW w:type="dxa" w:w="680"/>
          </w:tcPr>
          <w:p/>
        </w:tc>
        <w:tc>
          <w:tcPr>
            <w:tcW w:type="dxa" w:w="4309"/>
          </w:tcPr>
          <w:p>
            <w:pPr>
              <w:spacing w:after="80"/>
            </w:pPr>
            <w:r/>
            <w:r>
              <w:rPr>
                <w:b/>
              </w:rPr>
              <w:t>Za scryp</w:t>
            </w:r>
          </w:p>
          <w:p>
            <w:pPr>
              <w:spacing w:before="440" w:after="0"/>
              <w:pBdr>
                <w:bottom w:val="single" w:sz="6" w:space="1" w:color="6B7280"/>
              </w:pBdr>
            </w:pPr>
          </w:p>
          <w:p>
            <w:pPr>
              <w:spacing w:before="40" w:after="0"/>
            </w:pPr>
            <w:r>
              <w:rPr>
                <w:color w:val="6B7280"/>
                <w:sz w:val="17"/>
              </w:rPr>
              <w:t>Místo, datum</w:t>
            </w:r>
          </w:p>
          <w:p>
            <w:pPr>
              <w:spacing w:before="440" w:after="0"/>
              <w:pBdr>
                <w:bottom w:val="single" w:sz="6" w:space="1" w:color="6B7280"/>
              </w:pBdr>
            </w:pPr>
          </w:p>
          <w:p>
            <w:pPr>
              <w:spacing w:before="40" w:after="0"/>
            </w:pPr>
            <w:r>
              <w:rPr>
                <w:color w:val="6B7280"/>
                <w:sz w:val="17"/>
              </w:rPr>
              <w:t>Gökhan Sagir, podnikající fyzická osoba</w:t>
            </w:r>
          </w:p>
          <w:p>
            <w:pPr>
              <w:spacing w:before="440" w:after="0"/>
              <w:pBdr>
                <w:bottom w:val="single" w:sz="6" w:space="1" w:color="6B7280"/>
              </w:pBdr>
            </w:pPr>
          </w:p>
          <w:p>
            <w:pPr>
              <w:spacing w:before="40" w:after="0"/>
            </w:pPr>
            <w:r>
              <w:rPr>
                <w:color w:val="6B7280"/>
                <w:sz w:val="17"/>
              </w:rPr>
              <w:t>Podpis</w:t>
            </w:r>
          </w:p>
        </w:tc>
      </w:tr>
    </w:tbl>
    <w:p/>
    <w:p>
      <w:r>
        <w:br w:type="page"/>
      </w:r>
    </w:p>
    <w:p>
      <w:pPr>
        <w:pStyle w:val="Heading1"/>
      </w:pPr>
      <w:r>
        <w:t>Příloha 1: Popis zpracování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2268"/>
            <w:shd w:val="clear" w:color="auto" w:fill="E5E7EB"/>
          </w:tcPr>
          <w:p>
            <w:r/>
            <w:r>
              <w:rPr>
                <w:b/>
                <w:sz w:val="19"/>
              </w:rPr>
              <w:t>Bod</w:t>
            </w:r>
          </w:p>
        </w:tc>
        <w:tc>
          <w:tcPr>
            <w:tcW w:type="dxa" w:w="7143"/>
            <w:shd w:val="clear" w:color="auto" w:fill="E5E7EB"/>
          </w:tcPr>
          <w:p>
            <w:r/>
            <w:r>
              <w:rPr>
                <w:b/>
                <w:sz w:val="19"/>
              </w:rPr>
              <w:t>Popis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Předmět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Poskytování služby scryp: přepis zvukových nahrávek a videonahrávek pomocí rozpoznávání řeči a rozpoznávání mluvčích, v tarifu Ultra navíc funkce umělé inteligence (vyhodnocení s podporou umělé inteligence: shrnutí, zápis, seznam úkolů, text pro sociální sítě), jakož i ukládání, úpravy, export a sdílení výsledků.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Účel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Zákazník si nechává vlastní nahrávky převést do textu a vyhodnotit, například porady, rozhovory, diktáty, poradenské rozhovory, přednášky nebo podcasty.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Povaha zpracování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Příjem zašifrovaných souborů, krátkodobé dešifrování v operační paměti zpracovatelských serverů, automatický přepis a vyhodnocení, zašifrování výsledků, zašifrované uložení, zpřístupnění v účtu zákazníka, výmaz.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Typy údajů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Hlasové nahrávky a videa (hlas, mluvený obsah), z nich vytvořené přepisy a vyhodnocení, přiřazení mluvčích, názvy souborů a složek zadané zákazníkem, technická metadata (délka, velikost souboru, časové údaje, rozpoznaný jazyk, stav zpracování), u sdílených přepisů odkaz pro sdílení. Veškerý obsah se ukládá v zašifrované podobě; v otevřené podobě jsou pouze technická metadata.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Zvláštní kategorie (čl. 9 GDPR)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Možné, v závislosti na obsahu nahrávek zákazníka (například údaje o zdravotním stavu v lékařských diktátech, údaje z poradenských rozhovorů nebo z jednání s klienty). scryp obsah nezná. Přípustnost prověřuje zákazník podle bodu 4.2.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Záruky pro zvláštní kategorie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Šifrování v prohlížeči zákazníka, otevřená podoba pouze v operační paměti vlastních serverů scryp ve Vídni, žádné předávání obsahu dalším zpracovatelům v otevřené podobě, žádný přístup osob k obsahu za běžného provozu, povinnost mlčenlivosti podle bodu 5, žádné trénování modelů umělé inteligence na údajích zákazníků.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Subjekty údajů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Osoby, které v nahrávkách hovoří nebo jsou v nich zmíněny (například zaměstnanci, zákazníci, pacienti, klienti, respondenti rozhovorů, účastníci porad a akcí), a uživatelé zákaznického účtu.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Místa zpracování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Přepis a vyhodnocení umělou inteligencí: vlastní GPU servery scryp ve Vídni, Rakousko. Webová aplikace, rozhraní, databáze, zašifrované úložiště souborů a záložní kopie: datové centrum společnosti Hetzner Online GmbH v Norimberku, Německo.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  <w:t>Doba trvání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Doba trvání hlavní smlouvy prodloužená o lhůty pro výmaz podle bodu 12.</w:t>
            </w:r>
          </w:p>
        </w:tc>
      </w:tr>
    </w:tbl>
    <w:p/>
    <w:p>
      <w:r>
        <w:br w:type="page"/>
      </w:r>
    </w:p>
    <w:p>
      <w:pPr>
        <w:pStyle w:val="Heading1"/>
      </w:pPr>
      <w:r>
        <w:t>Příloha 2: Technická a organizační opatření (čl. 32 GDPR)</w:t>
      </w:r>
    </w:p>
    <w:p>
      <w:r>
        <w:t>Stav ke dni 22. září 2026. Opatření popisují běžný provoz scryp.</w:t>
      </w:r>
    </w:p>
    <w:p>
      <w:pPr>
        <w:pStyle w:val="Heading2"/>
      </w:pPr>
      <w:r>
        <w:t>1. Šifrování a architektura zero-knowledge</w:t>
      </w:r>
    </w:p>
    <w:p>
      <w:pPr>
        <w:pStyle w:val="ListBullet"/>
      </w:pPr>
      <w:r>
        <w:t>Nahrávky se šifrují již v prohlížeči zákazníka pomocí AES-256-GCM, ještě před přenosem do scryp. Pro každý soubor se vytváří samostatný klíč souboru (FEK).</w:t>
      </w:r>
    </w:p>
    <w:p>
      <w:pPr>
        <w:pStyle w:val="ListBullet"/>
      </w:pPr>
      <w:r>
        <w:t>Klíče souborů jsou zašifrovány hlavním klíčem účtu (MEK). Hlavní klíč je přístupný pouze s heslem zákazníka (odvození pomocí PBKDF2-SHA256, 600 000 iterací). scryp nezná v otevřené podobě heslo ani hlavní klíč.</w:t>
      </w:r>
    </w:p>
    <w:p>
      <w:pPr>
        <w:pStyle w:val="ListBullet"/>
      </w:pPr>
      <w:r>
        <w:t>Pro přepis předává prohlížeč klíč souboru do scryp zašifrovaný serverovým klíčem (RSA-4096, OAEP). Zpracovatelský server dešifruje nahrávku výhradně v operační paměti. Dočasné soubory se nacházejí v souborovém systému v paměti RAM a po dokončení úlohy jsou zahozeny; nezašifrovaný obsah se nikdy nezapisuje na datové nosiče.</w:t>
      </w:r>
    </w:p>
    <w:p>
      <w:pPr>
        <w:pStyle w:val="ListBullet"/>
      </w:pPr>
      <w:r>
        <w:t>Přepisy a vyhodnocení se ihned po vytvoření zašifrují klíčem souboru a ukládají se pouze v zašifrované podobě. Názvy souborů a složek se šifrují v prohlížeči.</w:t>
      </w:r>
    </w:p>
    <w:p>
      <w:pPr>
        <w:pStyle w:val="ListBullet"/>
      </w:pPr>
      <w:r>
        <w:t>Při sdílení přepisu je klíč souboru zašifrován klíčem odvozeným z hesla pro sdílení. Příjemci dešifrují výhradně ve svém vlastním prohlížeči.</w:t>
      </w:r>
    </w:p>
    <w:p>
      <w:pPr>
        <w:pStyle w:val="ListBullet"/>
      </w:pPr>
      <w:r>
        <w:t>Výjimka pro nahrávání prostřednictvím URL: Načte-li zákazník nahrávku z internetové adresy, zpracovatelský server soubor stáhne přímo, zpracuje jej v operační paměti a poté jej vymaže; přepis a verze pro přehrávání se ukládají zašifrované jako obvykle.</w:t>
      </w:r>
    </w:p>
    <w:p>
      <w:pPr>
        <w:pStyle w:val="ListBullet"/>
      </w:pPr>
      <w:r>
        <w:t>Všechna spojení jsou šifrována protokolem TLS 1.2 nebo 1.3.</w:t>
      </w:r>
    </w:p>
    <w:p>
      <w:pPr>
        <w:pStyle w:val="Heading2"/>
      </w:pPr>
      <w:r>
        <w:t>2. Kontrola vstupu</w:t>
      </w:r>
    </w:p>
    <w:p>
      <w:pPr>
        <w:pStyle w:val="ListBullet"/>
      </w:pPr>
      <w:r>
        <w:t>Webová aplikace, databáze, úložiště souborů a záložní kopie běží v datovém centru společnosti Hetzner Online GmbH v Norimberku (certifikace ISO/IEC 27001, osvědčení BSI C5 typu 2) s kontrolou vstupu, kamerovým dohledem a bezpečnostním personálem provozovatele.</w:t>
      </w:r>
    </w:p>
    <w:p>
      <w:pPr>
        <w:pStyle w:val="ListBullet"/>
      </w:pPr>
      <w:r>
        <w:t>GPU servery pro přepis a vyhodnocení umělou inteligencí jsou umístěny ve vlastních uzavřených prostorách scryp ve Vídni. Vstup mají pouze oprávněné osoby; přístup je mechanicky uzamčen a navíc biometricky zabezpečen.</w:t>
      </w:r>
    </w:p>
    <w:p>
      <w:pPr>
        <w:pStyle w:val="ListBullet"/>
      </w:pPr>
      <w:r>
        <w:t>Všechny datové nosiče těchto serverů jsou plně šifrovány. Při krádeži nebo vyjmutí datového nosiče zůstávají údaje bez klíče nečitelné. Nezašifrovaný obsah se na těchto serverech nachází pouze během probíhající úlohy v operační paměti a nikdy se nezapisuje na datový nosič.</w:t>
      </w:r>
    </w:p>
    <w:p>
      <w:pPr>
        <w:pStyle w:val="Heading2"/>
      </w:pPr>
      <w:r>
        <w:t>3. Kontrola přístupu a oprávnění</w:t>
      </w:r>
    </w:p>
    <w:p>
      <w:pPr>
        <w:pStyle w:val="ListBullet"/>
      </w:pPr>
      <w:r>
        <w:t>Přístup k serverům mají pouze administrátoři scryp prostřednictvím šifrovaných spojení SSH s osobními klíči, respektive náhodně generovanými silnými hesly; přístup podle zásady nejnižších oprávnění.</w:t>
      </w:r>
    </w:p>
    <w:p>
      <w:pPr>
        <w:pStyle w:val="ListBullet"/>
      </w:pPr>
      <w:r>
        <w:t>Oddělené administrační rozhraní s vlastním přihlášením, omezené na schválené IP adresy. Administrační rozhraní zobrazuje pouze metadata účtů a úloh, nikoli obsah.</w:t>
      </w:r>
    </w:p>
    <w:p>
      <w:pPr>
        <w:pStyle w:val="ListBullet"/>
      </w:pPr>
      <w:r>
        <w:t>Uživatelské účty: hesla se hashují pomocí Argon2id; ochrana před pokusy o přihlášení omezením počtu požadavků a dočasným zablokováním; relace běží bez souborů cookie s krátkodobými tokeny.</w:t>
      </w:r>
    </w:p>
    <w:p>
      <w:pPr>
        <w:pStyle w:val="ListBullet"/>
      </w:pPr>
      <w:r>
        <w:t>Ochrana rozhraní před zneužitím a přetížením omezením počtu požadavků a automatickým blokováním.</w:t>
      </w:r>
    </w:p>
    <w:p>
      <w:pPr>
        <w:pStyle w:val="ListBullet"/>
      </w:pPr>
      <w:r>
        <w:t>Automatizované služby (zpracovatelské servery) se ověřují vlastními, obměnitelnými přístupovými údaji a získávají pouze klíče potřebné pro příslušnou úlohu.</w:t>
      </w:r>
    </w:p>
    <w:p>
      <w:pPr>
        <w:pStyle w:val="Heading2"/>
      </w:pPr>
      <w:r>
        <w:t>4. Kontrola oddělení a pseudonymizace</w:t>
      </w:r>
    </w:p>
    <w:p>
      <w:pPr>
        <w:pStyle w:val="ListBullet"/>
      </w:pPr>
      <w:r>
        <w:t>Kryptografické oddělení: každý zákazník má vlastní hlavní klíč, každý soubor vlastní klíč souboru. Obsah jednoho zákazníka nelze číst cizími klíči.</w:t>
      </w:r>
    </w:p>
    <w:p>
      <w:pPr>
        <w:pStyle w:val="ListBullet"/>
      </w:pPr>
      <w:r>
        <w:t>Logické oddělení produkčních, databázových, cache a monitorovacích systémů v oddělených síťových zónách.</w:t>
      </w:r>
    </w:p>
    <w:p>
      <w:pPr>
        <w:pStyle w:val="ListBullet"/>
      </w:pPr>
      <w:r>
        <w:t>Úlohy zpracování zadávané GPU serverům neobsahují žádná jména ani e-mailové adresy, pouze technické údaje potřebné pro úlohu.</w:t>
      </w:r>
    </w:p>
    <w:p>
      <w:pPr>
        <w:pStyle w:val="Heading2"/>
      </w:pPr>
      <w:r>
        <w:t>5. Integrita a sledovatelnost</w:t>
      </w:r>
    </w:p>
    <w:p>
      <w:pPr>
        <w:pStyle w:val="ListBullet"/>
      </w:pPr>
      <w:r>
        <w:t>Všechny změny aplikace a infrastruktury probíhají prostřednictvím verzovaného zdrojového kódu a automatizovaného, sledovatelného nasazování; softwarové obrazy jsou určeny svým kontrolním součtem.</w:t>
      </w:r>
    </w:p>
    <w:p>
      <w:pPr>
        <w:pStyle w:val="ListBullet"/>
      </w:pPr>
      <w:r>
        <w:t>Události účtu (například přihlášení, výmaz, změny předplatného) se protokolují s časovým údajem, bez IP adres.</w:t>
      </w:r>
    </w:p>
    <w:p>
      <w:pPr>
        <w:pStyle w:val="ListBullet"/>
      </w:pPr>
      <w:r>
        <w:t>Systémové protokoly neobsahují žádný obsah a mažou se po 14 dnech. IP adresy se neukládají ani neprotokolují. Pro obranu před zneužitím se přístupy počítají pouze pomocí krátkodobého pseudonymu vytvořeného s tajným klíčem, který nelze zpětně odvodit a který zaniká nejpozději po jedné hodině.</w:t>
      </w:r>
    </w:p>
    <w:p>
      <w:pPr>
        <w:pStyle w:val="Heading2"/>
      </w:pPr>
      <w:r>
        <w:t>6. Dostupnost a odolnost</w:t>
      </w:r>
    </w:p>
    <w:p>
      <w:pPr>
        <w:pStyle w:val="ListBullet"/>
      </w:pPr>
      <w:r>
        <w:t>Vysoce dostupný cluster tří serverů s rozložením zátěže; databáze se synchronní replikací na tři uzly; cache s automatickým failoverem.</w:t>
      </w:r>
    </w:p>
    <w:p>
      <w:pPr>
        <w:pStyle w:val="ListBullet"/>
      </w:pPr>
      <w:r>
        <w:t>Denní šifrovaná záloha databáze s možností obnovení k libovolnému okamžiku posledních 30 dnů; konfigurace clusteru zálohována každých šest hodin. Zálohy jsou uloženy v datovém centru v Norimberku.</w:t>
      </w:r>
    </w:p>
    <w:p>
      <w:pPr>
        <w:pStyle w:val="ListBullet"/>
      </w:pPr>
      <w:r>
        <w:t>Nasazování nových verzí bez přerušení provozu; ochrana před útoky přetížením na síťové i aplikační úrovni.</w:t>
      </w:r>
    </w:p>
    <w:p>
      <w:pPr>
        <w:pStyle w:val="ListBullet"/>
      </w:pPr>
      <w:r>
        <w:t>Průběžný monitoring s automatickým upozorněním při poruchách.</w:t>
      </w:r>
    </w:p>
    <w:p>
      <w:pPr>
        <w:pStyle w:val="Heading2"/>
      </w:pPr>
      <w:r>
        <w:t>7. Výmaz a minimalizace údajů</w:t>
      </w:r>
    </w:p>
    <w:p>
      <w:pPr>
        <w:pStyle w:val="ListBullet"/>
      </w:pPr>
      <w:r>
        <w:t>Nahrané původní soubory se po zpracování mažou, zpravidla během několika minut; automatické pravidlo odstraňuje nedokončená nahrání nejpozději po 72 hodinách.</w:t>
      </w:r>
    </w:p>
    <w:p>
      <w:pPr>
        <w:pStyle w:val="ListBullet"/>
      </w:pPr>
      <w:r>
        <w:t>Zákazník kdykoli sám maže obsah i účet; výmaz se v aktivních datech projeví okamžitě. Po skončení předplatného se obsah po 90 dnech automaticky vymaže.</w:t>
      </w:r>
    </w:p>
    <w:p>
      <w:pPr>
        <w:pStyle w:val="ListBullet"/>
      </w:pPr>
      <w:r>
        <w:t>Žádné soubory cookie, žádné sledovací ani analytické nástroje třetích stran, žádné ukládání IP adres.</w:t>
      </w:r>
    </w:p>
    <w:p>
      <w:pPr>
        <w:pStyle w:val="Heading2"/>
      </w:pPr>
      <w:r>
        <w:t>8. Organizace</w:t>
      </w:r>
    </w:p>
    <w:p>
      <w:pPr>
        <w:pStyle w:val="ListBullet"/>
      </w:pPr>
      <w:r>
        <w:t>Všechny osoby činné pro scryp jsou zavázány k zachování datového tajemství a mlčenlivosti a jsou seznámeny s bezpečnostní architekturou.</w:t>
      </w:r>
    </w:p>
    <w:p>
      <w:pPr>
        <w:pStyle w:val="ListBullet"/>
      </w:pPr>
      <w:r>
        <w:t>scryp vede záznamy o činnostech zpracování (čl. 30 GDPR). Posouzení vlivu na ochranu osobních údajů, záznamy a tato opatření se přezkoumávají nejméně jednou ročně a při podstatných změnách.</w:t>
      </w:r>
    </w:p>
    <w:p>
      <w:pPr>
        <w:pStyle w:val="ListBullet"/>
      </w:pPr>
      <w:r>
        <w:t>Proces řešení incidentů: detekce prostřednictvím monitoringu, vyhodnocení, zamezení šíření, ohlášení dotčeným zákazníkům podle bodu 10 smlouvy, následné vyhodnocení.</w:t>
      </w:r>
    </w:p>
    <w:p>
      <w:pPr>
        <w:pStyle w:val="ListBullet"/>
      </w:pPr>
      <w:r>
        <w:t>Další zpracovatelé jsou před nasazením prověřeni z hlediska svých záruk a smluvně zavázáni podle čl. 28 odst. 4 GDPR.</w:t>
      </w:r>
    </w:p>
    <w:p>
      <w:r>
        <w:br w:type="page"/>
      </w:r>
    </w:p>
    <w:p>
      <w:pPr>
        <w:pStyle w:val="Heading1"/>
      </w:pPr>
      <w:r>
        <w:t>Příloha 3: Další zpracovatelé</w:t>
      </w:r>
    </w:p>
    <w:p>
      <w:r>
        <w:t>Stav ke dni 22. září 2026.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2"/>
        <w:gridCol w:w="1972"/>
        <w:gridCol w:w="1972"/>
        <w:gridCol w:w="1972"/>
        <w:gridCol w:w="1972"/>
      </w:tblGrid>
      <w:tr>
        <w:tc>
          <w:tcPr>
            <w:tcW w:type="dxa" w:w="1972"/>
            <w:shd w:val="clear" w:color="auto" w:fill="E5E7EB"/>
          </w:tcPr>
          <w:p>
            <w:r/>
            <w:r>
              <w:rPr>
                <w:b/>
                <w:sz w:val="19"/>
              </w:rPr>
              <w:t>Další zpracovatel</w:t>
            </w:r>
          </w:p>
        </w:tc>
        <w:tc>
          <w:tcPr>
            <w:tcW w:type="dxa" w:w="1972"/>
            <w:shd w:val="clear" w:color="auto" w:fill="E5E7EB"/>
          </w:tcPr>
          <w:p>
            <w:r/>
            <w:r>
              <w:rPr>
                <w:b/>
                <w:sz w:val="19"/>
              </w:rPr>
              <w:t>Služba</w:t>
            </w:r>
          </w:p>
        </w:tc>
        <w:tc>
          <w:tcPr>
            <w:tcW w:type="dxa" w:w="1972"/>
            <w:shd w:val="clear" w:color="auto" w:fill="E5E7EB"/>
          </w:tcPr>
          <w:p>
            <w:r/>
            <w:r>
              <w:rPr>
                <w:b/>
                <w:sz w:val="19"/>
              </w:rPr>
              <w:t>Údaje</w:t>
            </w:r>
          </w:p>
        </w:tc>
        <w:tc>
          <w:tcPr>
            <w:tcW w:type="dxa" w:w="1972"/>
            <w:shd w:val="clear" w:color="auto" w:fill="E5E7EB"/>
          </w:tcPr>
          <w:p>
            <w:r/>
            <w:r>
              <w:rPr>
                <w:b/>
                <w:sz w:val="19"/>
              </w:rPr>
              <w:t>Místo zpracování</w:t>
            </w:r>
          </w:p>
        </w:tc>
        <w:tc>
          <w:tcPr>
            <w:tcW w:type="dxa" w:w="1972"/>
            <w:shd w:val="clear" w:color="auto" w:fill="E5E7EB"/>
          </w:tcPr>
          <w:p>
            <w:r/>
            <w:r>
              <w:rPr>
                <w:b/>
                <w:sz w:val="19"/>
              </w:rPr>
              <w:t>Záruka</w:t>
            </w:r>
          </w:p>
        </w:tc>
      </w:tr>
      <w:tr>
        <w:tc>
          <w:tcPr>
            <w:tcW w:type="dxa" w:w="1972"/>
          </w:tcPr>
          <w:p>
            <w:r/>
            <w:r>
              <w:rPr>
                <w:sz w:val="19"/>
              </w:rPr>
              <w:t>Hetzner Online GmbH, Industriestraße 25, 91710 Gunzenhausen, Německo</w:t>
            </w:r>
          </w:p>
        </w:tc>
        <w:tc>
          <w:tcPr>
            <w:tcW w:type="dxa" w:w="1972"/>
          </w:tcPr>
          <w:p>
            <w:r/>
            <w:r>
              <w:rPr>
                <w:sz w:val="19"/>
              </w:rPr>
              <w:t>Provoz serverů pro webovou aplikaci, rozhraní a databázi; zašifrované objektové úložiště; záložní kopie</w:t>
            </w:r>
          </w:p>
        </w:tc>
        <w:tc>
          <w:tcPr>
            <w:tcW w:type="dxa" w:w="1972"/>
          </w:tcPr>
          <w:p>
            <w:r/>
            <w:r>
              <w:rPr>
                <w:sz w:val="19"/>
              </w:rPr>
              <w:t>Všechny údaje uvedené v příloze 1, obsah výhradně v zašifrované podobě</w:t>
            </w:r>
          </w:p>
        </w:tc>
        <w:tc>
          <w:tcPr>
            <w:tcW w:type="dxa" w:w="1972"/>
          </w:tcPr>
          <w:p>
            <w:r/>
            <w:r>
              <w:rPr>
                <w:sz w:val="19"/>
              </w:rPr>
              <w:t>Norimberk, Německo (EU)</w:t>
            </w:r>
          </w:p>
        </w:tc>
        <w:tc>
          <w:tcPr>
            <w:tcW w:type="dxa" w:w="1972"/>
          </w:tcPr>
          <w:p>
            <w:r/>
            <w:r>
              <w:rPr>
                <w:sz w:val="19"/>
              </w:rPr>
              <w:t>Smlouva o zpracování osobních údajů; ISO/IEC 27001; BSI C5</w:t>
            </w:r>
          </w:p>
        </w:tc>
      </w:tr>
      <w:tr>
        <w:tc>
          <w:tcPr>
            <w:tcW w:type="dxa" w:w="1972"/>
          </w:tcPr>
          <w:p>
            <w:r/>
            <w:r>
              <w:rPr>
                <w:sz w:val="19"/>
              </w:rPr>
              <w:t>Mailjet GmbH (Sinch-Konzern), Alt Moabit 2, 10557 Berlin, Německo</w:t>
            </w:r>
          </w:p>
        </w:tc>
        <w:tc>
          <w:tcPr>
            <w:tcW w:type="dxa" w:w="1972"/>
          </w:tcPr>
          <w:p>
            <w:r/>
            <w:r>
              <w:rPr>
                <w:sz w:val="19"/>
              </w:rPr>
              <w:t>Odesílání systémových e-mailů (například oznámení „Přepis dokončen“)</w:t>
            </w:r>
          </w:p>
        </w:tc>
        <w:tc>
          <w:tcPr>
            <w:tcW w:type="dxa" w:w="1972"/>
          </w:tcPr>
          <w:p>
            <w:r/>
            <w:r>
              <w:rPr>
                <w:sz w:val="19"/>
              </w:rPr>
              <w:t>E-mailová adresa účtu, datum úlohy, odkaz na účet; žádný obsah, žádné názvy souborů</w:t>
            </w:r>
          </w:p>
        </w:tc>
        <w:tc>
          <w:tcPr>
            <w:tcW w:type="dxa" w:w="1972"/>
          </w:tcPr>
          <w:p>
            <w:r/>
            <w:r>
              <w:rPr>
                <w:sz w:val="19"/>
              </w:rPr>
              <w:t>Francie (EU)</w:t>
            </w:r>
          </w:p>
        </w:tc>
        <w:tc>
          <w:tcPr>
            <w:tcW w:type="dxa" w:w="1972"/>
          </w:tcPr>
          <w:p>
            <w:r/>
            <w:r>
              <w:rPr>
                <w:sz w:val="19"/>
              </w:rPr>
              <w:t>Smlouva o zpracování osobních údajů; ISO/IEC 27001</w:t>
            </w:r>
          </w:p>
        </w:tc>
      </w:tr>
      <w:tr>
        <w:tc>
          <w:tcPr>
            <w:tcW w:type="dxa" w:w="1972"/>
          </w:tcPr>
          <w:p>
            <w:r/>
            <w:r>
              <w:rPr>
                <w:sz w:val="19"/>
              </w:rPr>
              <w:t>Microsoft Ireland Operations Ltd., Dublin, Irsko</w:t>
            </w:r>
          </w:p>
        </w:tc>
        <w:tc>
          <w:tcPr>
            <w:tcW w:type="dxa" w:w="1972"/>
          </w:tcPr>
          <w:p>
            <w:r/>
            <w:r>
              <w:rPr>
                <w:sz w:val="19"/>
              </w:rPr>
              <w:t>Příjem a vyřizování požadavků na podporu e-mailem (Microsoft 365)</w:t>
            </w:r>
          </w:p>
        </w:tc>
        <w:tc>
          <w:tcPr>
            <w:tcW w:type="dxa" w:w="1972"/>
          </w:tcPr>
          <w:p>
            <w:r/>
            <w:r>
              <w:rPr>
                <w:sz w:val="19"/>
              </w:rPr>
              <w:t>Pouze údaje, které zákazník sám uvede v požadavku na podporu</w:t>
            </w:r>
          </w:p>
        </w:tc>
        <w:tc>
          <w:tcPr>
            <w:tcW w:type="dxa" w:w="1972"/>
          </w:tcPr>
          <w:p>
            <w:r/>
            <w:r>
              <w:rPr>
                <w:sz w:val="19"/>
              </w:rPr>
              <w:t>EU; možný vzdálený přístup ze třetích zemí</w:t>
            </w:r>
          </w:p>
        </w:tc>
        <w:tc>
          <w:tcPr>
            <w:tcW w:type="dxa" w:w="1972"/>
          </w:tcPr>
          <w:p>
            <w:r/>
            <w:r>
              <w:rPr>
                <w:sz w:val="19"/>
              </w:rPr>
              <w:t>Smlouva o zpracování osobních údajů; standardní smluvní doložky EU; rámec EU-USA pro ochranu osobních údajů (DPF)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247" w:right="1134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6B7280"/>
        <w:sz w:val="16"/>
      </w:rPr>
      <w:t xml:space="preserve">scryp · Version 1.0, stav ke dni 22. září 2026 · Strana </w:t>
    </w:r>
    <w:r>
      <w:rPr>
        <w:color w:val="6B7280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F293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F29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37415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